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</w:pPr>
      <w:r>
        <w:t xml:space="preserve"> 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Проверяемые требования к результатам освоения основной</w:t>
      </w:r>
      <w:r/>
    </w:p>
    <w:p>
      <w:pPr>
        <w:pStyle w:val="836"/>
        <w:jc w:val="center"/>
      </w:pPr>
      <w:r>
        <w:t xml:space="preserve">образовательной программы (10 класс)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органической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 представлений о химической составляющей естествен</w:t>
            </w:r>
            <w:r>
              <w:t xml:space="preserve">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системой химических знаний, которая включает: основополагающие понятия (молекула, валентность, </w:t>
            </w:r>
            <w:r>
              <w:t xml:space="preserve">электроотрицательность</w:t>
            </w:r>
            <w: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</w:t>
            </w:r>
            <w:r>
              <w:t xml:space="preserve">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органических веществ А.М. Бутлерова), закономерности, символический язык химии, </w:t>
            </w:r>
            <w:r>
              <w:t xml:space="preserve">фактологические</w:t>
            </w:r>
            <w: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использовать хими</w:t>
            </w:r>
            <w:r>
              <w:t xml:space="preserve">ческую символику для составления молекулярных и структурных (развернутой, сокращенной)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устанавливать п</w:t>
            </w:r>
            <w:r>
              <w:t xml:space="preserve">ринадлежность изученных органических веществ по их составу и строению к определенному классу (группе) соединений (углеводороды, кислород и азотсодержащие соединения, высокомолекулярные соединения), давать им названия по систематической номенклатуре (IUPAC)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определять виды химической связи в органических соединениях (одинарные и кратные)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применять: 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Углеводороды. Кислородсодержащие и азотсодержащие органические соединения. Высокомолекулярные соединения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приводить тривиальн</w:t>
            </w:r>
            <w:r>
              <w:t xml:space="preserve">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характеризовать состав, строение, физические и химические свойства типичных представителей различных к</w:t>
            </w:r>
            <w:r>
              <w:t xml:space="preserve">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и жизнь. Расчеты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владеть системой знаний об основных методах научного позна</w:t>
            </w:r>
            <w:r>
              <w:t xml:space="preserve">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</w:t>
            </w:r>
            <w:r>
              <w:t xml:space="preserve">ов)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проводить вычисления по химическим уравнениям (массы, объема, количества исходного вещества или продукта реакции по известным массе, объему, количеству одного из исходных веществ или продуктов реакции)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  <w:r>
              <w:t xml:space="preserve">, осознавать опасность воздействия на живые организмы определенных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Таблица 15.1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Проверяемые элементы содержания (10 класс)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органической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Предмет органической химии: ее возникновение, развитие и значение в получении новых веществ и материалов. Теория строения органических соединений А.М. Бутлерова, ее основные положения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Структурные формулы органических веществ. Гомология, изомерия. Химическая связь в органических соединениях - одинарные и кратные связи. Представление о классификации 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Углеводороды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Алканы</w:t>
            </w:r>
            <w:r>
              <w:t xml:space="preserve">: состав и строение, гомологический ряд. Метан и этан - простейшие представители </w:t>
            </w:r>
            <w:r>
              <w:t xml:space="preserve">алканов</w:t>
            </w:r>
            <w:r>
              <w:t xml:space="preserve">: физические и химические свойства (реакции замещения и горения), нахождение в природе, получение и применение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Алкены</w:t>
            </w:r>
            <w:r>
              <w:t xml:space="preserve">: состав и строение, гомологический ряд. Этилен и пропилен - простейшие представители </w:t>
            </w:r>
            <w:r>
              <w:t xml:space="preserve">алкенов</w:t>
            </w:r>
            <w:r>
              <w:t xml:space="preserve">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Алкадиены</w:t>
            </w:r>
            <w:r>
              <w:t xml:space="preserve">: бутадиен-1,3 и метилбутадиен-1,3: строение, важнейшие химические свойства (реакция полимеризации). Получение синтетического каучука и резины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Алкины</w:t>
            </w:r>
            <w:r>
              <w:t xml:space="preserve">: состав и особенности строения, гомологический ряд. Ацетилен - простейший представитель </w:t>
            </w:r>
            <w:r>
              <w:t xml:space="preserve">алкинов</w:t>
            </w:r>
            <w:r>
              <w:t xml:space="preserve">: состав, строение, физические и химические свойства (реакции гидрирования, галогенирования, гидратации, горения), получение и применение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Арены. Бе</w:t>
            </w:r>
            <w:r>
              <w:t xml:space="preserve">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r>
              <w:t xml:space="preserve">аренов</w:t>
            </w:r>
            <w:r>
              <w:t xml:space="preserve">. Генетическая связь между углеводородами, принадлежащими к различным классам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Природные источники углеводородов. Природ</w:t>
            </w:r>
            <w:r>
              <w:t xml:space="preserve">ный газ и попутные нефтяные газы. Нефть и ее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Кислородсодержащие органические соединения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Предельные одноатомные спирты. Метанол и этанол: строение, физические и химические свойства (реакции с активными металлами, </w:t>
            </w:r>
            <w:r>
              <w:t xml:space="preserve">галогеноводородами</w:t>
            </w:r>
            <w:r>
              <w:t xml:space="preserve">, горение), применение. Водородные связи между молекулами спиртов. Действие метанола и этанола на органи</w:t>
            </w:r>
            <w:r>
              <w:t xml:space="preserve">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Фенол: строение молекулы, физические и химические свойства. Токсичность фенола. Применение фенола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Одноосновные предельные карбоновые кислоты. Муравьиная и уксусная кислоты: стро</w:t>
            </w:r>
            <w:r>
              <w:t xml:space="preserve">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Углеводы: состав, классификация углеводов (моно-, </w:t>
            </w:r>
            <w:r>
              <w:t xml:space="preserve">ди</w:t>
            </w:r>
            <w:r>
              <w:t xml:space="preserve">- и полисахариды). Глюкоза - простейший моносахарид: особенности строения молекулы, физические и химические свойства (взаимодействие с гидроксидом меди (II), окисление аммиачным раствором оксида серебра (I), восстановление, брожение </w:t>
            </w:r>
            <w:r>
              <w:t xml:space="preserve">глюкозы),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      </w:r>
            <w:r>
              <w:t xml:space="preserve">иодом</w:t>
            </w:r>
            <w:r>
              <w:t xml:space="preserve">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Азотсодержащие органические соединения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Высокомолекулярные соединения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- полимеризация и поликонденсация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каучуков. Получение синтетического каучука и резины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Таблица 15.2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Проверяемые требования к результатам освоения основной</w:t>
      </w:r>
      <w:r/>
    </w:p>
    <w:p>
      <w:pPr>
        <w:pStyle w:val="836"/>
        <w:jc w:val="center"/>
      </w:pPr>
      <w:r>
        <w:t xml:space="preserve">образовательной программы (11 класс)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46"/>
        <w:gridCol w:w="702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r>
              <w:t xml:space="preserve">орбитали</w:t>
            </w:r>
            <w:r>
              <w:t xml:space="preserve"> атомов, ион, молекула, валентность, </w:t>
            </w:r>
            <w:r>
              <w:t xml:space="preserve">электроотрицательность</w:t>
            </w:r>
            <w:r>
              <w:t xml:space="preserve">, степень окисления, химическая связь, моль, молярная масса, молярный объем, кристаллическая решетка, типы химических реакций (</w:t>
            </w:r>
            <w:r>
              <w:t xml:space="preserve">окислительно</w:t>
            </w:r>
            <w:r>
              <w:t xml:space="preserve">-восстановительные, экзо- и эндотермические, реакции ионного обмена), раствор, электролиты, </w:t>
            </w:r>
            <w:r>
              <w:t xml:space="preserve">неэлектролиты</w:t>
            </w:r>
            <w:r>
              <w:t xml:space="preserve">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Д.И. </w:t>
            </w:r>
            <w:r>
              <w:t xml:space="preserve">Менделеева, закон сохранения массы), закономерности, символический язык химии, </w:t>
            </w:r>
            <w:r>
              <w:t xml:space="preserve">фактологические</w:t>
            </w:r>
            <w:r>
      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выявлять характерн</w:t>
            </w:r>
            <w:r>
              <w:t xml:space="preserve">ые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основными методами научного познания веществ и химических явлений (наблюдение, измерение, эксперимент, моделирование)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определять валентность</w:t>
            </w:r>
            <w:r>
              <w:t xml:space="preserve">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решетки конкретного вещества (атомная, молекулярная, ионная, металлическая)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определять характер среды в водных растворах неорганических соединений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составлять уравнения реакций различных типов, полные и сокращенные уравнения реакций ионного обмена, учитывая условия, при которых эти реакции идут до конца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проводить реакции, подтверждающие качественный состав различных неорганических веществ, распознавать опытным </w:t>
            </w:r>
            <w:r>
              <w:t xml:space="preserve">путем ионы</w:t>
            </w:r>
            <w:r>
              <w:t xml:space="preserve">, присутствующие в водных растворах неорганических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раскрывать сущность </w:t>
            </w:r>
            <w:r>
              <w:t xml:space="preserve">окислительно</w:t>
            </w:r>
            <w:r>
              <w:t xml:space="preserve">-восстановительных реакций посредством составления электронного баланса этих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объяснять зависимость скорости химической реакции от различных факторов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объяснять характер смещения химического равновесия в зависимости от внешнего воздействия (принцип </w:t>
            </w:r>
            <w:r>
              <w:t xml:space="preserve">Ле</w:t>
            </w:r>
            <w:r>
              <w:t xml:space="preserve"> </w:t>
            </w:r>
            <w:r>
              <w:t xml:space="preserve">Шателье</w:t>
            </w:r>
            <w:r>
              <w:t xml:space="preserve">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Общая и неорганическая химия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раскрывать смысл Периодического закона </w:t>
            </w:r>
            <w:r>
              <w:t xml:space="preserve">Д.И. Менделеева и демонстрировать его систематизирующую, объяснительную и прогностическую функции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характеризовать электронное строение атомов химических элементов 1 - 4 периодов Периодической системы химических элементов Д.И. Менделеева, используя понятия "s-, p-, d-электронные </w:t>
            </w:r>
            <w:r>
              <w:t xml:space="preserve">орбитали</w:t>
            </w:r>
            <w:r>
              <w:t xml:space="preserve">", "энергетические уровни", объяснять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устанавливать принадлежность неорганических веществ по их составу к определенному классу (группе) соединений (простые вещества - металлы и неметаллы, оксиды, основания, кислоты, амфотерные гидроксиды, соли)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использовать химическую символику для </w:t>
            </w:r>
            <w:r>
              <w:t xml:space="preserve">составления формул веществ и уравнений химических реакций, систематическую номенклатуру (IUPAC) и тривиальные названия отдельных неорганических веществ (угарный газ, углекислый газ, аммиак, гашеная известь, негашеная известь, питьевая сода, пирит и другие)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</w:t>
            </w:r>
            <w:r>
              <w:t xml:space="preserve">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"Металлы" и "Неметалл</w:t>
            </w:r>
            <w:r>
              <w:t xml:space="preserve">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характеризовать химические процессы, лежащие в основе промышленного получения серной кислоты, аммиака, а также </w:t>
            </w:r>
            <w:r>
              <w:t xml:space="preserve">сформированность</w:t>
            </w:r>
            <w:r>
              <w:t xml:space="preserve"> представлений об общих научных принципах и экологических проблемах химического производства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и жизнь. Расчеты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представлений о химической составляющей естествен</w:t>
            </w:r>
            <w:r>
              <w:t xml:space="preserve">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Осознавать опасность воздействия на живые организмы определенных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25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проводить вычисления с использованием понятия "массовая доля вещества в растворе", объемных отношений га</w:t>
            </w:r>
            <w:r>
              <w:t xml:space="preserve">зов при химических реакциях, массы вещества или объема газов по известному количеству вещества, массе или объему одного из участвующих в реакции веществ, теплового эффекта реакции на основе законов сохранения массы веществ, превращения и сохранения энергии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Таблица 15.3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Проверяемые элементы содержания (11 класс)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r>
              <w:t xml:space="preserve">орбитали</w:t>
            </w:r>
            <w:r>
              <w:t xml:space="preserve">, s-, p-, d-элементы. Особенности распределения электронов по </w:t>
            </w:r>
            <w:r>
              <w:t xml:space="preserve">орбиталям</w:t>
            </w:r>
            <w:r>
              <w:t xml:space="preserve"> в атомах элементов первых четырех периодов. Электронная конфигурация атомов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Периодичес</w:t>
            </w:r>
            <w:r>
              <w:t xml:space="preserve">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</w:t>
            </w:r>
            <w:r>
              <w:t xml:space="preserve">образуемых ими простых и сложных веществ по группам и периодам. Значение периодического закона в развитии науки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Строение вещества. Химическая связь. Виды химической связи (ковалентная неполярная и полярная, ионная, металлическая). Ионы: катионы и анионы. Механизмы образования ковалентной химической связи (обменный и донорно-акцепторный). Водородная связь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Валентность. </w:t>
            </w:r>
            <w:r>
              <w:t xml:space="preserve">Электроотрицательность</w:t>
            </w:r>
            <w:r>
              <w:t xml:space="preserve">. Степень окисления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Вещества молекулярн</w:t>
            </w:r>
            <w:r>
              <w:t xml:space="preserve">ого и немолекулярного строения. Закон постоянства состава вещества. Типы кристаллических решеток. Зависимость свойства веществ от типа кристаллической решетки. Понятие о дисперсных системах. Истинные и коллоидные растворы. Массовая доля вещества в растворе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Классификация неорганических соединений. Номенклатура неорганических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Скорость реакции, ее зависимость от различных факторов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Обратимые реакции. Химическое равновесие. Факторы, влияющие на состояние химического равновесия. Принцип </w:t>
            </w:r>
            <w:r>
              <w:t xml:space="preserve">Ле</w:t>
            </w:r>
            <w:r>
              <w:t xml:space="preserve"> </w:t>
            </w:r>
            <w:r>
              <w:t xml:space="preserve">Шателье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Электролитическая диссоциация. Сильные и слабые электролиты. Среда водных растворов веществ: кислая, нейтральная, щелочная. Реакции ионного обмена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Окислительно</w:t>
            </w:r>
            <w:r>
              <w:t xml:space="preserve">-восстановительные реакции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Неорганическая химия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Неметаллы. Положение неметаллов в 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 Применение важнейших неметаллов и их соединений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металлов в быту и технике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Генетическая связь неорганических веществ, принадлежащих к различным классам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и жизнь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Представления об общих научных принципах промышленного получения важнейших веществ. Человек в мире веществ и материалов: важнейшие строительные материалы, конструкционные материалы, краски, стекло, керамика, материалы для электроники, </w:t>
            </w:r>
            <w:r>
              <w:t xml:space="preserve">наноматериалы</w:t>
            </w:r>
            <w:r>
              <w:t xml:space="preserve">, органические и минеральные удобрения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  <w:r/>
          </w:p>
        </w:tc>
      </w:tr>
    </w:tbl>
    <w:p>
      <w:r/>
      <w:r/>
    </w:p>
    <w:p>
      <w:r/>
      <w:r/>
    </w:p>
    <w:p>
      <w:pPr>
        <w:pStyle w:val="836"/>
        <w:ind w:firstLine="540"/>
        <w:jc w:val="both"/>
        <w:spacing w:before="240"/>
      </w:pPr>
      <w:r>
        <w:t xml:space="preserve">118.9. Для проведения единого государственного экзамена по химии (далее - ЕГЭ по химии)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Таблица 15.4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Проверяемые на ЕГЭ по химии требования</w:t>
      </w:r>
      <w:r/>
    </w:p>
    <w:p>
      <w:pPr>
        <w:pStyle w:val="836"/>
        <w:jc w:val="center"/>
      </w:pPr>
      <w:r>
        <w:t xml:space="preserve">к результатам освоения основной образовательной программы</w:t>
      </w:r>
      <w:r/>
    </w:p>
    <w:p>
      <w:pPr>
        <w:pStyle w:val="836"/>
        <w:jc w:val="center"/>
      </w:pPr>
      <w:r>
        <w:t xml:space="preserve">среднего общего образования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870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требования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требования к предметным результатам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системой химических знаний, которая включает: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основополагающие понятия (химический элемент, атом, изотопы, электронная оболочка атома, s-, p-, d-электронные </w:t>
            </w:r>
            <w:r>
              <w:t xml:space="preserve">орбитали</w:t>
            </w:r>
            <w:r>
              <w:t xml:space="preserve"> атомов, основное и возбужденное состояние атома, ион, молекула, валентность, </w:t>
            </w:r>
            <w:r>
              <w:t xml:space="preserve">электроотрицательность</w:t>
            </w:r>
            <w:r>
              <w:t xml:space="preserve">, степень окисления, химическая связь (</w:t>
            </w:r>
            <w:r>
              <w:rPr>
                <w:position w:val="-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5900" cy="17272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5899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.00pt;height:13.6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и </w:t>
            </w:r>
            <w:r>
              <w:rPr>
                <w:position w:val="-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775" cy="17272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2775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8.25pt;height:13.6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t xml:space="preserve">, кратные связи), гибридизация атомных </w:t>
            </w:r>
            <w:r>
              <w:t xml:space="preserve">орбиталей</w:t>
            </w:r>
            <w:r>
              <w:t xml:space="preserve">, кристалли</w:t>
            </w:r>
            <w:r>
              <w:t xml:space="preserve">ческая решетка, моль, молярная масса, молярный объем, молярная концентрация, растворы (истинные, дисперсные системы), кристаллогидраты, углеродный скелет, функциональная группа, радикал, изомеры, структурная формула, изомерия (структурная, геометрическая (</w:t>
            </w:r>
            <w:r>
              <w:t xml:space="preserve">цис</w:t>
            </w:r>
            <w:r>
              <w:t xml:space="preserve">-, </w:t>
            </w:r>
            <w:r>
              <w:t xml:space="preserve">трансизомерия</w:t>
            </w:r>
            <w:r>
              <w:t xml:space="preserve">),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крекинг, </w:t>
            </w:r>
            <w:r>
              <w:t xml:space="preserve">риформинг</w:t>
            </w:r>
            <w:r>
              <w:t xml:space="preserve">, типы </w:t>
            </w:r>
            <w:r>
              <w:t xml:space="preserve">химических реакций (</w:t>
            </w:r>
            <w:r>
              <w:t xml:space="preserve">окислительно</w:t>
            </w:r>
            <w:r>
              <w:t xml:space="preserve">-восстановительные, экзо- и эндотермические, реакции ионного обмена, гомо- и гетерогенные, обратимые и необратимые), раствор, электролиты, </w:t>
            </w:r>
            <w:r>
              <w:t xml:space="preserve">неэлектролиты</w:t>
            </w:r>
            <w:r>
              <w:t xml:space="preserve">,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</w:t>
            </w:r>
            <w:r>
              <w:t xml:space="preserve">сохранения массы), закономерности, символический язык химии, мировоззренческие знания, лежащие в основе понимания причинности и системности химических явлений, современные представления о строении вещества на атомном, молекулярном и надмолекулярном уровнях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фактологические</w:t>
            </w:r>
            <w: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общие научные принципы химического производства (на примере производства серной кислоты, аммиака, метанола, переработки нефти)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умений выявлять: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использовать: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классифицировать: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неорганические вещества, самостоятельно выбирать основания и критерии для классификации изучаемых химических объектов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органические вещества, самостоятельно выбирать основания и </w:t>
            </w:r>
            <w:r>
              <w:t xml:space="preserve">критерии для классификации изучаемых химических объектов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характеризовать электронное строение атомов (в основном и возбужденном состоянии) и ионов химических элементов 1 - 4 периодов Периодической системы Д.И. Менделеева и их валентные возможности, используя понятия s-, p-, d-электронные </w:t>
            </w:r>
            <w:r>
              <w:t xml:space="preserve">орбитали</w:t>
            </w:r>
            <w:r>
              <w:t xml:space="preserve">, энергетические уровни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объяснять закономерности изменения свойств химических элементов и образуемых ими соединений по периодам и группам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составлять уравнения химических реакций и раскрывать их сущность: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окислительно</w:t>
            </w:r>
            <w:r>
              <w:t xml:space="preserve">-восстановительных реакций посредством составления электронного баланса этих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уравнения реакций различных типов; полные и сокращенные уравнения реакций ионного обмена, учитывая условия, при которых эти реакции идут до конца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7.3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реакций гидролиза, реакций </w:t>
            </w:r>
            <w:r>
              <w:t xml:space="preserve">комплексообразования</w:t>
            </w:r>
            <w:r>
              <w:t xml:space="preserve"> (на примере </w:t>
            </w:r>
            <w:r>
              <w:t xml:space="preserve">гидроксокомплексов</w:t>
            </w:r>
            <w:r>
              <w:t xml:space="preserve"> цинка и алюминия)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подтверждать: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8.1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 конкретных примерах характер зависимости реакционной способности органических соединений от кратности и типа ковалентной связи </w:t>
            </w:r>
            <w:r>
              <w:t xml:space="preserve">(</w:t>
            </w:r>
            <w:r>
              <w:rPr>
                <w:position w:val="-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5900" cy="17272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5899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7.00pt;height:13.6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и</w:t>
            </w:r>
            <w:r>
              <w:t xml:space="preserve"> </w:t>
            </w:r>
            <w:r>
              <w:rPr>
                <w:position w:val="-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29920" cy="172720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29920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49.60pt;height:13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t xml:space="preserve">), взаимного влияния атомов и групп атомов в молекулах, а также от особенностей реализации различных механизмов протекания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8.2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характерные химические свойства веществ соответствующими экспериментами и записями уравнений химических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характеризовать состав и важнейшие свойств</w:t>
            </w:r>
            <w:r>
              <w:t xml:space="preserve">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проводить расчеты по химическим формулам и уравнениям химических реакций с использованием физических величин: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массовой или объемной доли, выхода продукта реакции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теплового эффекта реакций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объемных отношений газов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10.5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нахождению химической формулы вещества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системой знаний о методах научно</w:t>
            </w:r>
            <w:r>
              <w:t xml:space="preserve">го познания 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применять (использовать) знания о составе и свойствах веществ для экспериментальной проверки гипотез относительно закономерностей</w:t>
            </w:r>
            <w:r>
              <w:t xml:space="preserve"> протекания химических реакций и прогнозирования возможностей их осуществления; системные химические знания для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плани</w:t>
            </w:r>
            <w:r>
              <w:t xml:space="preserve">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</w:t>
            </w:r>
            <w:r>
              <w:t xml:space="preserve">неорганических и органических веществ) с соблюдением правил безопасного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осуществлять целенаправленный поиск химическ</w:t>
            </w:r>
            <w:r>
              <w:t xml:space="preserve">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7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Сформированность</w:t>
            </w:r>
            <w:r>
              <w:t xml:space="preserve">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</w:t>
            </w:r>
            <w:r>
              <w:t xml:space="preserve">сформированность</w:t>
            </w:r>
            <w:r>
              <w:t xml:space="preserve"> умений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 организм человека</w:t>
            </w:r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Таблица 15.5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Перечень элементов содержания, проверяемых на ЕГЭ по химии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Строение вещества. Современная модель строения атома.</w:t>
            </w:r>
            <w:r>
              <w:t xml:space="preserve"> Распределение электронов по энергетическим уровням. Классификация химических элементов. Особенности строения энергетических уровней атомов (s-, p-, d-элементов). Основное и возбужденное состояния атомов. Электронная конфигурация атома. Валентные электроны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Периодическая система химических элементов Д.И. Менделе</w:t>
            </w:r>
            <w:r>
              <w:t xml:space="preserve">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Валентность. </w:t>
            </w:r>
            <w:r>
              <w:t xml:space="preserve">Электроотрицательность</w:t>
            </w:r>
            <w:r>
              <w:t xml:space="preserve">. Степень окисления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Виды химической </w:t>
            </w:r>
            <w:r>
              <w:t xml:space="preserve">связи (ковалентная, ионная, металлическая, водородная) и механизмы ее образования. Межмолекулярные взаимодействия. Вещества молекулярного и немолекулярного строения. Типы кристаллических решеток. Зависимость свойства веществ от типа кристаллической решетки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Химическая реакция. Классификация химических реакций в неорганической и органической химии. Закон сохранения массы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Скорость реакции, ее зависимость от различных факторов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Тепловые эффекты химических реакций. Термохимические уравнения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Обратимые реакции. Химическое равновесие. Факторы, влияющие на состояние химического равновесия. Принцип </w:t>
            </w:r>
            <w:r>
              <w:t xml:space="preserve">Ле</w:t>
            </w:r>
            <w:r>
              <w:t xml:space="preserve"> </w:t>
            </w:r>
            <w:r>
              <w:t xml:space="preserve">Шателье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Электролитическая диссоциация. Сильные и слабые электролиты. Среда водных растворов веществ: кислая, нейтральная, щелочная. Степень диссоциации. Реакции ионного обмена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Гидролиз солей. Ионное произведение воды. Водородный показатель (</w:t>
            </w:r>
            <w:r>
              <w:t xml:space="preserve">pH</w:t>
            </w:r>
            <w:r>
              <w:t xml:space="preserve">) раствора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Способы выражения концентрации растворов: массовая доля растворенного вещества, молярная концентрация. Насыщенные и ненасыщенные растворы, растворимость. Кристаллогидраты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Окислительно</w:t>
            </w:r>
            <w:r>
              <w:t xml:space="preserve">-восстановительные реакции. Поведение веществ в средах с разным значением </w:t>
            </w:r>
            <w:r>
              <w:t xml:space="preserve">pH</w:t>
            </w:r>
            <w:r>
              <w:t xml:space="preserve">. Методы электронного баланса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Электролиз растворов и расплавов солей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Основы неорганической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Классификация неорганических соединений. Номенклатура неорганических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Химические свойства важнейших металлов (натрий, калий, кальций, </w:t>
            </w:r>
            <w:r>
              <w:t xml:space="preserve">магний, алюминий, цинк, хром, железо, медь) и их соединений. Общие способы получения металлов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Генетическая связь неорганических веществ, принадлежащих к различным классам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Идентификация неорганических соединений. Качественные реакции на неорганические вещества и ионы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Основы органической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</w:t>
            </w:r>
            <w:r>
              <w:t xml:space="preserve">связи, </w:t>
            </w:r>
            <w:r>
              <w:rPr>
                <w:position w:val="-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5900" cy="172720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5899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7.00pt;height:13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t xml:space="preserve"> и</w:t>
            </w:r>
            <w:r>
              <w:t xml:space="preserve"> </w:t>
            </w:r>
            <w:r>
              <w:rPr>
                <w:position w:val="-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29920" cy="172720"/>
                      <wp:effectExtent l="0" t="0" r="0" b="0"/>
                      <wp:docPr id="6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29920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9.60pt;height:13.6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t xml:space="preserve">. sp</w:t>
            </w:r>
            <w:r>
              <w:rPr>
                <w:vertAlign w:val="superscript"/>
              </w:rPr>
              <w:t xml:space="preserve">3</w:t>
            </w:r>
            <w:r>
              <w:t xml:space="preserve">-, sp</w:t>
            </w:r>
            <w:r>
              <w:rPr>
                <w:vertAlign w:val="superscript"/>
              </w:rPr>
              <w:t xml:space="preserve">2</w:t>
            </w:r>
            <w:r>
              <w:t xml:space="preserve">-, </w:t>
            </w:r>
            <w:r>
              <w:t xml:space="preserve">sp</w:t>
            </w:r>
            <w:r>
              <w:t xml:space="preserve">-гибридизации </w:t>
            </w:r>
            <w:r>
              <w:t xml:space="preserve">орбиталей</w:t>
            </w:r>
            <w:r>
              <w:t xml:space="preserve"> атомов углерода. Зависимость свойств веществ от химического строения молекул. Гомологи. Гомологический ряд. Изомерия и изомеры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Понятие о функциональной группе. Ориентационные эффекты заместителей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Свободнорадикальный</w:t>
            </w:r>
            <w:r>
              <w:t xml:space="preserve"> и ионный механизмы реакции. Понятие о </w:t>
            </w:r>
            <w:r>
              <w:t xml:space="preserve">нуклеофиле</w:t>
            </w:r>
            <w:r>
              <w:t xml:space="preserve"> и </w:t>
            </w:r>
            <w:r>
              <w:t xml:space="preserve">электрофиле</w:t>
            </w:r>
            <w:r>
              <w:t xml:space="preserve">. Правило Марковникова. Правило Зайцева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Алканы</w:t>
            </w:r>
            <w:r>
              <w:t xml:space="preserve">. Химические свойства </w:t>
            </w:r>
            <w:r>
              <w:t xml:space="preserve">алканов</w:t>
            </w:r>
            <w:r>
              <w:t xml:space="preserve">: галогенирование, дегидрирование, термическое разложение, крекинг, изомеризация, горение. Получение </w:t>
            </w:r>
            <w:r>
              <w:t xml:space="preserve">алканов</w:t>
            </w:r>
            <w:r>
              <w:t xml:space="preserve">. </w:t>
            </w:r>
            <w:r>
              <w:t xml:space="preserve">Циклоалканы</w:t>
            </w:r>
            <w:r>
              <w:t xml:space="preserve">. Специфика свойств </w:t>
            </w:r>
            <w:r>
              <w:t xml:space="preserve">циклоалканов</w:t>
            </w:r>
            <w:r>
              <w:t xml:space="preserve"> с малым размером цикла. Реакции присоединения и радикального замещения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Алкены</w:t>
            </w:r>
            <w:r>
              <w:t xml:space="preserve">. Химические свойства: реакции присоединения (галогенирование, гидрирование, </w:t>
            </w:r>
            <w:r>
              <w:t xml:space="preserve">гидрогалогенирование</w:t>
            </w:r>
            <w:r>
              <w:t xml:space="preserve">, гидратация), горения, окисления и полимеризации. Промышленные и лабораторные способы получения </w:t>
            </w:r>
            <w:r>
              <w:t xml:space="preserve">алкенов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Алкадиены</w:t>
            </w:r>
            <w:r>
              <w:t xml:space="preserve">. Химические свойства </w:t>
            </w:r>
            <w:r>
              <w:t xml:space="preserve">алкадиенов</w:t>
            </w:r>
            <w:r>
              <w:t xml:space="preserve">: реакции присоединения (гидрирование, галогенирование), горения и полимеризации. Получение </w:t>
            </w:r>
            <w:r>
              <w:t xml:space="preserve">алкадиенов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Алкины</w:t>
            </w:r>
            <w:r>
              <w:t xml:space="preserve">. Химические свойства: реакции присоединения (галогенирование, гидрирование, гидратация, </w:t>
            </w:r>
            <w:r>
              <w:t xml:space="preserve">гидрогалогенирование</w:t>
            </w:r>
            <w:r>
              <w:t xml:space="preserve">) как способ получения полимеров и других полезных продуктов. Реакции замещения. Горение ацетилена как источник высокотемпературного пламени для сварки и резки металлов. Применение ацетилена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Арены. Химические свойства бензола: реакции </w:t>
            </w:r>
            <w:r>
              <w:t xml:space="preserve">электрофильного</w:t>
            </w:r>
            <w:r>
              <w:t xml:space="preserve"> замещения, присоединения (гидрирование, галогенирование). Реакция горения. Особенности химических свойств толуола. Получение бензола. </w:t>
            </w:r>
            <w:r>
              <w:t xml:space="preserve">Особенности химических свойств стирола. Полимеризация стирола. Способы получения и применение ароматических углеводородов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Спирты. Предельные одноатомные спирты. Химические свойства: взаимодействие с натрием как способ установления наличия </w:t>
            </w:r>
            <w:r>
              <w:t xml:space="preserve">гидроксогруппы</w:t>
            </w:r>
            <w:r>
              <w:t xml:space="preserve">, с </w:t>
            </w:r>
            <w:r>
              <w:t xml:space="preserve">галогеноводородами</w:t>
            </w:r>
            <w:r>
              <w:t xml:space="preserve"> как способ получения растворителей, внутри- и межмолекулярная дегидратация. Реакция горения. Получение этанола: реакция брожения глюкозы, гидратация этилена. Этиленгликоль и глицерин как представители предельных многоатомных спиртов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Фенол. Химические свойства фенола (реакции с натрием, гидроксидом натрия, бромом). Получение фенола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Альдегиды. Химические свойства предельных альдегидов: гидрирование; качес</w:t>
            </w:r>
            <w:r>
              <w:t xml:space="preserve">твенные реакции на карбонильную группу (реакция "серебряного зеркала", взаимодействие с гидроксидом меди (II). Получение предельных альдегидов: окисление спиртов, гидратация ацетилена. Ацетон как представитель кетонов. Особенности реакции окисления ацетона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</w:t>
            </w:r>
            <w:r>
              <w:t xml:space="preserve">алканов</w:t>
            </w:r>
            <w:r>
              <w:t xml:space="preserve">, </w:t>
            </w:r>
            <w:r>
              <w:t xml:space="preserve">алкенов</w:t>
            </w:r>
            <w:r>
              <w:t xml:space="preserve">, первичных спиртов, альдегидов. Высшие предельные и непредельные карбоновые кислоты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Сложные эфиры и жиры. Способы получения сложных эфиров. Обратимость реакции этерификации. Применение сложных э</w:t>
            </w:r>
            <w:r>
              <w:t xml:space="preserve">фиров в пищевой и парфюмерной промышленности. Жиры как сложные эфиры глицерина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</w:t>
            </w:r>
            <w:r>
              <w:rPr>
                <w:position w:val="-5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7525" cy="215900"/>
                      <wp:effectExtent l="0" t="0" r="0" b="0"/>
                      <wp:docPr id="7" name="Консультант Плю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Консультант Плюс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7525" cy="215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40.75pt;height:17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t xml:space="preserve"> как соли высших карбоновых кислот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Химические свойства глюкозы: реакции с участием спиртовых и альдегидной групп и молочнокислое брожение. Применение глюкозы, ее значение в жизнедеятельности организма. Дисахариды: сахароза, мальтоза. Восстанавливающие и </w:t>
            </w:r>
            <w:r>
              <w:t xml:space="preserve">невосстанавливающие</w:t>
            </w:r>
            <w:r>
              <w:t xml:space="preserve"> дисахариды. Гидролиз дисахаридов. Полисахариды: 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      </w:r>
            <w:r>
              <w:t xml:space="preserve">иодом</w:t>
            </w:r>
            <w:r>
              <w:t xml:space="preserve">. Химические свойства целлюлозы: гидролиз, получение эфиров целлюлозы. Понятие об искусственных волокнах (вискоза, ацетатный шелк)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анилина: взаимодействие с кислотами, бромной водой, окисление. Получение аминов </w:t>
            </w:r>
            <w:r>
              <w:t xml:space="preserve">алкилированием</w:t>
            </w:r>
            <w:r>
              <w:t xml:space="preserve"> аммиака и восстановлением нитропроизводных углеводородов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Аминокислоты и белки. Аминокислоты как амфотерные органические соединения. Основные аминокислоты, образующие белки. Химические </w:t>
            </w:r>
            <w:r>
              <w:t xml:space="preserve">свойства белков: гидролиз, денатурация, качественные (цветные) реакции на белки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поликонденсации. Классификация волокон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Идентификация органических соединений. Решение экспериментальных задач на распознавание органических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Генетическая связь между классами органических соединений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и жизнь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в повседневной жизни. Правила безопасной работы с едкими, горючими и токсичными веществами, средствами бытовой химии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и здоровье. Химия в медицине. Химия и сельское хозяйство. Химия в промышленности. Химия и энергетика: природный и попутный нефтяной газы, их состав и использование. Состав нефти и ее переработка (природные источники углеводородов)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Проблема отходов и побочных продуктов. Альтернативные источники энергии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Общи</w:t>
            </w:r>
            <w:r>
              <w:t xml:space="preserve">е представления о промышленных способах получения химических веществ (на примере производства аммиака, серной кислоты). Черная и цветная металлургия. Стекло и силикатная промышленность. Промышленная органическая химия. Сырье для органической промышленности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Типы расчетных задач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Расчеты массы вещества или объема газов по известному количеству вещества, массе или объему одного из участвующих в реакции веществ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Расчеты теплового эффекта реакции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Расчеты объемных отношений газов при химических реакциях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Расчеты массы (объема, количества вещества) продуктов реакции, если одно из веществ дано в избытке (имеет примеси)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Расчеты массовой или объемной доли выхода продукта реакции от теоретически возможного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Расчеты с использованием понятий "массовая доля", "молярная концентрация", "растворимость"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5.8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Нахождение молекулярной формулы органического вещества по его плотности и массовым долям элементов, входящих в его состав, или по продуктам сгорания</w:t>
            </w:r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image" Target="media/image2.wmf"/><Relationship Id="rId10" Type="http://schemas.openxmlformats.org/officeDocument/2006/relationships/image" Target="media/image3.wmf"/><Relationship Id="rId11" Type="http://schemas.openxmlformats.org/officeDocument/2006/relationships/image" Target="media/image4.wmf"/><Relationship Id="rId12" Type="http://schemas.openxmlformats.org/officeDocument/2006/relationships/image" Target="media/image5.wmf"/><Relationship Id="rId13" Type="http://schemas.openxmlformats.org/officeDocument/2006/relationships/image" Target="media/image6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ГБОУ ДПО ЧИППКРО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Наталья Юрьевна</dc:creator>
  <cp:lastModifiedBy>Светлана Кашлева</cp:lastModifiedBy>
  <cp:revision>8</cp:revision>
  <dcterms:created xsi:type="dcterms:W3CDTF">2025-04-16T03:32:00Z</dcterms:created>
  <dcterms:modified xsi:type="dcterms:W3CDTF">2025-06-09T07:37:48Z</dcterms:modified>
</cp:coreProperties>
</file>